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1. Реализация психологического аспекта мониторинга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1.1. Психодиагностические  исследования развития  мотивационно –  </w:t>
      </w:r>
      <w:proofErr w:type="spellStart"/>
      <w:r w:rsidRPr="001152C8">
        <w:rPr>
          <w:sz w:val="28"/>
          <w:szCs w:val="28"/>
        </w:rPr>
        <w:t>потребностной</w:t>
      </w:r>
      <w:proofErr w:type="spellEnd"/>
      <w:r w:rsidRPr="001152C8">
        <w:rPr>
          <w:sz w:val="28"/>
          <w:szCs w:val="28"/>
        </w:rPr>
        <w:t xml:space="preserve"> сферы учащихся 2-4 классов.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Цель: сохранение и укрепление психологического здоровья учащихся, через создание  условий обеспечивающих успешную адаптацию подрастающего поколения в социуме.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ЗАДАЧИ: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Создание социально-психологических условий для успешного обучения и психологического развития ребенка   в ситуации школьного взаимодействия.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Продолжить исследования развития личности учащихся 1,2 ступени, способствующие реализации индивидуального подхода в учебно-воспитательном процессе.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Реализация программ психолого-педагогического сопровождения  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Оказывать консультативную  и информационную  психологическую поддержку процессов обучения, воспитания и развития детей в образовательной среде школы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6. Систематизировать работу с педагогами через учебы, семинары, консультации в решении вопросов возрастного развития и учебной деятельности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bookmarkStart w:id="0" w:name="_Toc262296527"/>
      <w:bookmarkStart w:id="1" w:name="_Toc262296777"/>
      <w:bookmarkStart w:id="2" w:name="_Toc293600734"/>
      <w:bookmarkStart w:id="3" w:name="_Toc388343032"/>
      <w:r w:rsidRPr="001152C8">
        <w:rPr>
          <w:sz w:val="28"/>
          <w:szCs w:val="28"/>
        </w:rPr>
        <w:t>Реализация психологического аспекта мониторинга</w:t>
      </w:r>
      <w:bookmarkStart w:id="4" w:name="_Toc262296528"/>
      <w:bookmarkStart w:id="5" w:name="_Toc262296778"/>
      <w:bookmarkStart w:id="6" w:name="_Toc293600735"/>
      <w:bookmarkEnd w:id="0"/>
      <w:bookmarkEnd w:id="1"/>
      <w:bookmarkEnd w:id="2"/>
      <w:bookmarkEnd w:id="3"/>
    </w:p>
    <w:p w:rsidR="00B74574" w:rsidRPr="001152C8" w:rsidRDefault="001152C8" w:rsidP="001152C8">
      <w:pPr>
        <w:ind w:firstLine="709"/>
        <w:jc w:val="both"/>
        <w:rPr>
          <w:sz w:val="28"/>
          <w:szCs w:val="28"/>
        </w:rPr>
      </w:pPr>
      <w:bookmarkStart w:id="7" w:name="_Toc325725872"/>
      <w:bookmarkStart w:id="8" w:name="_Toc325726136"/>
      <w:bookmarkStart w:id="9" w:name="_Toc388343033"/>
      <w:bookmarkEnd w:id="4"/>
      <w:bookmarkEnd w:id="5"/>
      <w:bookmarkEnd w:id="6"/>
      <w:r>
        <w:rPr>
          <w:sz w:val="28"/>
          <w:szCs w:val="28"/>
        </w:rPr>
        <w:t>1.</w:t>
      </w:r>
      <w:r w:rsidR="00B74574" w:rsidRPr="001152C8">
        <w:rPr>
          <w:sz w:val="28"/>
          <w:szCs w:val="28"/>
        </w:rPr>
        <w:t xml:space="preserve"> </w:t>
      </w:r>
      <w:bookmarkStart w:id="10" w:name="_GoBack"/>
      <w:r w:rsidR="00B74574" w:rsidRPr="001152C8">
        <w:rPr>
          <w:sz w:val="28"/>
          <w:szCs w:val="28"/>
        </w:rPr>
        <w:t xml:space="preserve">Психодиагностические  исследования развития  мотивационно –  </w:t>
      </w:r>
      <w:proofErr w:type="spellStart"/>
      <w:r w:rsidR="00B74574" w:rsidRPr="001152C8">
        <w:rPr>
          <w:sz w:val="28"/>
          <w:szCs w:val="28"/>
        </w:rPr>
        <w:t>потребностной</w:t>
      </w:r>
      <w:proofErr w:type="spellEnd"/>
      <w:r w:rsidR="00B74574" w:rsidRPr="001152C8">
        <w:rPr>
          <w:sz w:val="28"/>
          <w:szCs w:val="28"/>
        </w:rPr>
        <w:t xml:space="preserve"> сферы учащихся 2-4 классов.</w:t>
      </w:r>
      <w:bookmarkEnd w:id="7"/>
      <w:bookmarkEnd w:id="8"/>
      <w:bookmarkEnd w:id="9"/>
      <w:bookmarkEnd w:id="10"/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Анализ  результатов и выводы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Таблица№1. Сводные данные учебной мотивации в начальной школе 2022-2023 </w:t>
      </w:r>
      <w:proofErr w:type="spellStart"/>
      <w:r w:rsidRPr="001152C8">
        <w:rPr>
          <w:sz w:val="28"/>
          <w:szCs w:val="28"/>
        </w:rPr>
        <w:t>уч</w:t>
      </w:r>
      <w:proofErr w:type="gramStart"/>
      <w:r w:rsidRPr="001152C8">
        <w:rPr>
          <w:sz w:val="28"/>
          <w:szCs w:val="28"/>
        </w:rPr>
        <w:t>.г</w:t>
      </w:r>
      <w:proofErr w:type="gramEnd"/>
      <w:r w:rsidRPr="001152C8">
        <w:rPr>
          <w:sz w:val="28"/>
          <w:szCs w:val="28"/>
        </w:rPr>
        <w:t>од</w:t>
      </w:r>
      <w:proofErr w:type="spellEnd"/>
    </w:p>
    <w:tbl>
      <w:tblPr>
        <w:tblStyle w:val="a6"/>
        <w:tblpPr w:leftFromText="180" w:rightFromText="180" w:vertAnchor="text" w:horzAnchor="margin" w:tblpY="19"/>
        <w:tblW w:w="10147" w:type="dxa"/>
        <w:tblLayout w:type="fixed"/>
        <w:tblLook w:val="01E0" w:firstRow="1" w:lastRow="1" w:firstColumn="1" w:lastColumn="1" w:noHBand="0" w:noVBand="0"/>
      </w:tblPr>
      <w:tblGrid>
        <w:gridCol w:w="4219"/>
        <w:gridCol w:w="569"/>
        <w:gridCol w:w="849"/>
        <w:gridCol w:w="591"/>
        <w:gridCol w:w="900"/>
        <w:gridCol w:w="720"/>
        <w:gridCol w:w="837"/>
        <w:gridCol w:w="658"/>
        <w:gridCol w:w="804"/>
      </w:tblGrid>
      <w:tr w:rsidR="00B74574" w:rsidRPr="001152C8" w:rsidTr="00A95367">
        <w:trPr>
          <w:trHeight w:val="537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Уровень школьной мотивации</w:t>
            </w:r>
          </w:p>
        </w:tc>
        <w:tc>
          <w:tcPr>
            <w:tcW w:w="1418" w:type="dxa"/>
            <w:gridSpan w:val="2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2-ой класс</w:t>
            </w:r>
          </w:p>
        </w:tc>
        <w:tc>
          <w:tcPr>
            <w:tcW w:w="1491" w:type="dxa"/>
            <w:gridSpan w:val="2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3-ий класс</w:t>
            </w:r>
          </w:p>
        </w:tc>
        <w:tc>
          <w:tcPr>
            <w:tcW w:w="1557" w:type="dxa"/>
            <w:gridSpan w:val="2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4-ый класс</w:t>
            </w:r>
          </w:p>
        </w:tc>
        <w:tc>
          <w:tcPr>
            <w:tcW w:w="1462" w:type="dxa"/>
            <w:gridSpan w:val="2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среднее</w:t>
            </w:r>
          </w:p>
        </w:tc>
      </w:tr>
      <w:tr w:rsidR="00B74574" w:rsidRPr="001152C8" w:rsidTr="00A95367">
        <w:trPr>
          <w:trHeight w:val="448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Высокая школьная мотивация, учебная активность</w:t>
            </w:r>
          </w:p>
        </w:tc>
        <w:tc>
          <w:tcPr>
            <w:tcW w:w="56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28%</w:t>
            </w:r>
          </w:p>
        </w:tc>
        <w:tc>
          <w:tcPr>
            <w:tcW w:w="72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3</w:t>
            </w:r>
          </w:p>
        </w:tc>
        <w:tc>
          <w:tcPr>
            <w:tcW w:w="837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37%</w:t>
            </w:r>
          </w:p>
        </w:tc>
        <w:tc>
          <w:tcPr>
            <w:tcW w:w="658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29%</w:t>
            </w:r>
          </w:p>
        </w:tc>
      </w:tr>
      <w:tr w:rsidR="00B74574" w:rsidRPr="001152C8" w:rsidTr="00A95367">
        <w:trPr>
          <w:trHeight w:val="254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Нормальная школьная мотивация</w:t>
            </w:r>
          </w:p>
        </w:tc>
        <w:tc>
          <w:tcPr>
            <w:tcW w:w="56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50%</w:t>
            </w:r>
          </w:p>
        </w:tc>
        <w:tc>
          <w:tcPr>
            <w:tcW w:w="591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28%</w:t>
            </w:r>
          </w:p>
        </w:tc>
        <w:tc>
          <w:tcPr>
            <w:tcW w:w="72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25%</w:t>
            </w:r>
          </w:p>
        </w:tc>
        <w:tc>
          <w:tcPr>
            <w:tcW w:w="658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29%</w:t>
            </w:r>
          </w:p>
        </w:tc>
      </w:tr>
      <w:tr w:rsidR="00B74574" w:rsidRPr="001152C8" w:rsidTr="00A95367">
        <w:trPr>
          <w:trHeight w:val="448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 xml:space="preserve">Положительное отношение к школе, но школа привлекает  больше </w:t>
            </w:r>
            <w:proofErr w:type="spellStart"/>
            <w:r w:rsidRPr="001152C8">
              <w:rPr>
                <w:sz w:val="28"/>
                <w:szCs w:val="28"/>
              </w:rPr>
              <w:t>внеучебными</w:t>
            </w:r>
            <w:proofErr w:type="spellEnd"/>
            <w:r w:rsidRPr="001152C8">
              <w:rPr>
                <w:sz w:val="28"/>
                <w:szCs w:val="28"/>
              </w:rPr>
              <w:t xml:space="preserve"> сторонами</w:t>
            </w:r>
          </w:p>
        </w:tc>
        <w:tc>
          <w:tcPr>
            <w:tcW w:w="56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50%</w:t>
            </w:r>
          </w:p>
        </w:tc>
        <w:tc>
          <w:tcPr>
            <w:tcW w:w="591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28%</w:t>
            </w:r>
          </w:p>
        </w:tc>
        <w:tc>
          <w:tcPr>
            <w:tcW w:w="72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25%</w:t>
            </w:r>
          </w:p>
        </w:tc>
        <w:tc>
          <w:tcPr>
            <w:tcW w:w="658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29%</w:t>
            </w:r>
          </w:p>
        </w:tc>
      </w:tr>
      <w:tr w:rsidR="00B74574" w:rsidRPr="001152C8" w:rsidTr="00A95367">
        <w:trPr>
          <w:trHeight w:val="254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Низкая школьная мотивация</w:t>
            </w:r>
          </w:p>
        </w:tc>
        <w:tc>
          <w:tcPr>
            <w:tcW w:w="56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16%</w:t>
            </w:r>
          </w:p>
        </w:tc>
        <w:tc>
          <w:tcPr>
            <w:tcW w:w="72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</w:t>
            </w:r>
          </w:p>
        </w:tc>
        <w:tc>
          <w:tcPr>
            <w:tcW w:w="837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13%</w:t>
            </w:r>
          </w:p>
        </w:tc>
        <w:tc>
          <w:tcPr>
            <w:tcW w:w="658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>13%</w:t>
            </w:r>
          </w:p>
        </w:tc>
      </w:tr>
      <w:tr w:rsidR="00B74574" w:rsidRPr="001152C8" w:rsidTr="00A95367">
        <w:trPr>
          <w:trHeight w:val="269"/>
        </w:trPr>
        <w:tc>
          <w:tcPr>
            <w:tcW w:w="421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  <w:r w:rsidRPr="001152C8">
              <w:rPr>
                <w:sz w:val="28"/>
                <w:szCs w:val="28"/>
              </w:rPr>
              <w:t xml:space="preserve">Негативное отношение к школе, </w:t>
            </w:r>
            <w:proofErr w:type="spellStart"/>
            <w:r w:rsidRPr="001152C8">
              <w:rPr>
                <w:sz w:val="28"/>
                <w:szCs w:val="28"/>
              </w:rPr>
              <w:t>дезадаптация</w:t>
            </w:r>
            <w:proofErr w:type="spellEnd"/>
          </w:p>
        </w:tc>
        <w:tc>
          <w:tcPr>
            <w:tcW w:w="56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" w:type="dxa"/>
          </w:tcPr>
          <w:p w:rsidR="00B74574" w:rsidRPr="001152C8" w:rsidRDefault="00B74574" w:rsidP="001152C8">
            <w:pPr>
              <w:jc w:val="both"/>
              <w:rPr>
                <w:sz w:val="28"/>
                <w:szCs w:val="28"/>
              </w:rPr>
            </w:pPr>
          </w:p>
        </w:tc>
      </w:tr>
    </w:tbl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1152C8" w:rsidRDefault="001152C8" w:rsidP="001152C8">
      <w:pPr>
        <w:ind w:firstLine="709"/>
        <w:jc w:val="both"/>
        <w:rPr>
          <w:sz w:val="28"/>
          <w:szCs w:val="28"/>
        </w:rPr>
      </w:pP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lastRenderedPageBreak/>
        <w:t xml:space="preserve"> Диаграмма 1. Распределение показателей учебной  мотивации 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в МБОУ «</w:t>
      </w:r>
      <w:proofErr w:type="spellStart"/>
      <w:r w:rsidRPr="001152C8">
        <w:rPr>
          <w:sz w:val="28"/>
          <w:szCs w:val="28"/>
        </w:rPr>
        <w:t>Паспартинская</w:t>
      </w:r>
      <w:proofErr w:type="spellEnd"/>
      <w:r w:rsidRPr="001152C8">
        <w:rPr>
          <w:sz w:val="28"/>
          <w:szCs w:val="28"/>
        </w:rPr>
        <w:t xml:space="preserve"> СОШ </w:t>
      </w:r>
      <w:proofErr w:type="spellStart"/>
      <w:r w:rsidRPr="001152C8">
        <w:rPr>
          <w:sz w:val="28"/>
          <w:szCs w:val="28"/>
        </w:rPr>
        <w:t>им.А.Г.Калкина</w:t>
      </w:r>
      <w:proofErr w:type="spellEnd"/>
      <w:r w:rsidRPr="001152C8">
        <w:rPr>
          <w:sz w:val="28"/>
          <w:szCs w:val="28"/>
        </w:rPr>
        <w:t>» на 2022-2023 учебный год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drawing>
          <wp:inline distT="0" distB="0" distL="0" distR="0" wp14:anchorId="112B448E" wp14:editId="43F1AC11">
            <wp:extent cx="5618747" cy="1900989"/>
            <wp:effectExtent l="0" t="0" r="20320" b="23495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52C8" w:rsidRPr="001152C8" w:rsidRDefault="001152C8" w:rsidP="001152C8">
      <w:pPr>
        <w:jc w:val="both"/>
        <w:rPr>
          <w:sz w:val="28"/>
          <w:szCs w:val="28"/>
        </w:rPr>
      </w:pP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Выводы: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В начальном звене у 29% (5) </w:t>
      </w:r>
      <w:proofErr w:type="gramStart"/>
      <w:r w:rsidRPr="001152C8">
        <w:rPr>
          <w:sz w:val="28"/>
          <w:szCs w:val="28"/>
        </w:rPr>
        <w:t>обучающихся</w:t>
      </w:r>
      <w:proofErr w:type="gramEnd"/>
      <w:r w:rsidRPr="001152C8">
        <w:rPr>
          <w:sz w:val="28"/>
          <w:szCs w:val="28"/>
        </w:rPr>
        <w:t xml:space="preserve"> преобладает высокий уровень школьной мотивации, учебой активности. У таких детей есть познавательный мотив, стремление наиболее успешно выполнять все предъявляемые школьные требования. Ученики четко следуют всем указаниям учителя, добросовестны и ответственны, сильно переживают, если получают неудовлетворительные отметки. 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У 29% (5) учащихся преобладает нормальный уровень школьной мотивации. Учащиеся успешно справляются с учебной деятельностью.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У 29% (5) учащихся положительное отношение к школе, но школа привлекает больше </w:t>
      </w:r>
      <w:proofErr w:type="spellStart"/>
      <w:r w:rsidRPr="001152C8">
        <w:rPr>
          <w:sz w:val="28"/>
          <w:szCs w:val="28"/>
        </w:rPr>
        <w:t>внеучебными</w:t>
      </w:r>
      <w:proofErr w:type="spellEnd"/>
      <w:r w:rsidRPr="001152C8">
        <w:rPr>
          <w:sz w:val="28"/>
          <w:szCs w:val="28"/>
        </w:rPr>
        <w:t xml:space="preserve"> сторонами. Такие дети достаточно благополучно чувствуют себя в школе, чтобы общаться с друзьями, с учителями. Им нравиться ощущать себя учениками, иметь красивый портфель,  ручки,  пенал, тетради. Познавательные мотивы у таких детей сформированы в меньшей степени, и учебный процесс их мало привлекает.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Низкий уровень школьной мотивации преобладает у 13% (2) учащихся.  Эти дети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 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Негативное отношение к школе, </w:t>
      </w:r>
      <w:proofErr w:type="spellStart"/>
      <w:r w:rsidRPr="001152C8">
        <w:rPr>
          <w:sz w:val="28"/>
          <w:szCs w:val="28"/>
        </w:rPr>
        <w:t>дезадаптация</w:t>
      </w:r>
      <w:proofErr w:type="spellEnd"/>
      <w:r w:rsidRPr="001152C8">
        <w:rPr>
          <w:sz w:val="28"/>
          <w:szCs w:val="28"/>
        </w:rPr>
        <w:t xml:space="preserve">  в начальной школе не выявлено.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Приоритетные направления работы по результатам мониторинговых исследований.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 xml:space="preserve">    По результатам психодиагностических исследований, можно выделить следующие направления работы, которые необходимо решать  совместно с администрацией школы.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t>1. Продолжить работу по исследованию мотивационно–</w:t>
      </w:r>
      <w:proofErr w:type="spellStart"/>
      <w:r w:rsidRPr="001152C8">
        <w:rPr>
          <w:sz w:val="28"/>
          <w:szCs w:val="28"/>
        </w:rPr>
        <w:t>потребностной</w:t>
      </w:r>
      <w:proofErr w:type="spellEnd"/>
      <w:r w:rsidRPr="001152C8">
        <w:rPr>
          <w:sz w:val="28"/>
          <w:szCs w:val="28"/>
        </w:rPr>
        <w:t xml:space="preserve"> сферы среди обучающихся с низким уровнем учебной мотивации, выявления причин </w:t>
      </w:r>
      <w:proofErr w:type="spellStart"/>
      <w:r w:rsidRPr="001152C8">
        <w:rPr>
          <w:sz w:val="28"/>
          <w:szCs w:val="28"/>
        </w:rPr>
        <w:t>немотивированности</w:t>
      </w:r>
      <w:proofErr w:type="spellEnd"/>
      <w:r w:rsidRPr="001152C8">
        <w:rPr>
          <w:sz w:val="28"/>
          <w:szCs w:val="28"/>
        </w:rPr>
        <w:t xml:space="preserve"> обучающихся</w:t>
      </w:r>
      <w:proofErr w:type="gramStart"/>
      <w:r w:rsidRPr="001152C8">
        <w:rPr>
          <w:sz w:val="28"/>
          <w:szCs w:val="28"/>
        </w:rPr>
        <w:t xml:space="preserve"> .</w:t>
      </w:r>
      <w:proofErr w:type="gramEnd"/>
      <w:r w:rsidRPr="001152C8">
        <w:rPr>
          <w:sz w:val="28"/>
          <w:szCs w:val="28"/>
        </w:rPr>
        <w:t xml:space="preserve"> </w:t>
      </w:r>
    </w:p>
    <w:p w:rsidR="00B74574" w:rsidRPr="001152C8" w:rsidRDefault="00B74574" w:rsidP="001152C8">
      <w:pPr>
        <w:ind w:firstLine="709"/>
        <w:jc w:val="both"/>
        <w:rPr>
          <w:sz w:val="28"/>
          <w:szCs w:val="28"/>
        </w:rPr>
      </w:pPr>
      <w:r w:rsidRPr="001152C8">
        <w:rPr>
          <w:sz w:val="28"/>
          <w:szCs w:val="28"/>
        </w:rPr>
        <w:lastRenderedPageBreak/>
        <w:t xml:space="preserve">2. Участвовать в проведении методических заседаний: «Использование активных форм работы для привлечения внимания и интереса учащихся к  учебной деятельности». </w:t>
      </w: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B74574" w:rsidRPr="001152C8" w:rsidRDefault="00B74574" w:rsidP="00B74574">
      <w:pPr>
        <w:jc w:val="center"/>
        <w:rPr>
          <w:b/>
          <w:sz w:val="28"/>
          <w:szCs w:val="28"/>
        </w:rPr>
      </w:pPr>
    </w:p>
    <w:p w:rsidR="0026700F" w:rsidRPr="001152C8" w:rsidRDefault="0026700F">
      <w:pPr>
        <w:rPr>
          <w:sz w:val="28"/>
          <w:szCs w:val="28"/>
        </w:rPr>
      </w:pPr>
    </w:p>
    <w:sectPr w:rsidR="0026700F" w:rsidRPr="0011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E0212"/>
    <w:multiLevelType w:val="singleLevel"/>
    <w:tmpl w:val="8C844CE6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">
    <w:nsid w:val="5FC31665"/>
    <w:multiLevelType w:val="hybridMultilevel"/>
    <w:tmpl w:val="C3784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DA3B36"/>
    <w:multiLevelType w:val="hybridMultilevel"/>
    <w:tmpl w:val="AF1EB5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D604596"/>
    <w:multiLevelType w:val="multilevel"/>
    <w:tmpl w:val="A88E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91B52A4"/>
    <w:multiLevelType w:val="singleLevel"/>
    <w:tmpl w:val="6FBAABD0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C"/>
    <w:rsid w:val="001152C8"/>
    <w:rsid w:val="0026700F"/>
    <w:rsid w:val="0062096C"/>
    <w:rsid w:val="00B7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4574"/>
    <w:pPr>
      <w:keepNext/>
      <w:spacing w:line="360" w:lineRule="auto"/>
      <w:jc w:val="center"/>
      <w:outlineLvl w:val="2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457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74574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B745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B7457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45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5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74574"/>
    <w:pPr>
      <w:keepNext/>
      <w:spacing w:line="360" w:lineRule="auto"/>
      <w:jc w:val="center"/>
      <w:outlineLvl w:val="2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457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74574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B7457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1"/>
    <w:qFormat/>
    <w:rsid w:val="00B7457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745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05015041987869E-2"/>
          <c:y val="0.13682927841111645"/>
          <c:w val="0.54221896988047036"/>
          <c:h val="0.660327342300311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школьная мотивация, учебная активность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0.28000000000000003</c:v>
                </c:pt>
                <c:pt idx="2">
                  <c:v>0.37</c:v>
                </c:pt>
                <c:pt idx="3">
                  <c:v>0.23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Нормальная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</c:v>
                </c:pt>
                <c:pt idx="1">
                  <c:v>0.28000000000000003</c:v>
                </c:pt>
                <c:pt idx="2">
                  <c:v>0.25</c:v>
                </c:pt>
                <c:pt idx="3">
                  <c:v>0.28999999999999998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Положительное отнеошение к школе, но школа привлекает больше внеучебными сторонами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0.28000000000000003</c:v>
                </c:pt>
                <c:pt idx="2">
                  <c:v>0.25</c:v>
                </c:pt>
                <c:pt idx="3">
                  <c:v>0.28999999999999998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Низкая школьная мотивация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</c:v>
                </c:pt>
                <c:pt idx="1">
                  <c:v>0.16</c:v>
                </c:pt>
                <c:pt idx="2">
                  <c:v>0.13</c:v>
                </c:pt>
                <c:pt idx="3">
                  <c:v>0.13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Негативное отношение к школе, дезадаптация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среднее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710144"/>
        <c:axId val="278711680"/>
      </c:barChart>
      <c:catAx>
        <c:axId val="278710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1680"/>
        <c:crosses val="autoZero"/>
        <c:auto val="1"/>
        <c:lblAlgn val="ctr"/>
        <c:lblOffset val="100"/>
        <c:noMultiLvlLbl val="0"/>
      </c:catAx>
      <c:valAx>
        <c:axId val="278711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98"/>
            </a:pPr>
            <a:endParaRPr lang="ru-RU"/>
          </a:p>
        </c:txPr>
        <c:crossAx val="27871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334806624116558"/>
          <c:y val="4.2108181872550039E-3"/>
          <c:w val="0.33969287070033083"/>
          <c:h val="0.95113967427226209"/>
        </c:manualLayout>
      </c:layout>
      <c:overlay val="0"/>
      <c:txPr>
        <a:bodyPr/>
        <a:lstStyle/>
        <a:p>
          <a:pPr>
            <a:defRPr sz="1048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7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2022-12-14T06:46:00Z</dcterms:created>
  <dcterms:modified xsi:type="dcterms:W3CDTF">2022-12-14T06:46:00Z</dcterms:modified>
</cp:coreProperties>
</file>